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8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3828"/>
        <w:gridCol w:w="284"/>
        <w:gridCol w:w="5881"/>
        <w:gridCol w:w="152"/>
        <w:gridCol w:w="5444"/>
      </w:tblGrid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808080" w:themeFill="background1" w:themeFillShade="8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</w:rPr>
              <w:t>Znanje</w:t>
            </w:r>
          </w:p>
        </w:tc>
        <w:tc>
          <w:tcPr>
            <w:tcW w:w="6165" w:type="dxa"/>
            <w:gridSpan w:val="2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color="auto" w:fill="808080" w:themeFill="background1" w:themeFillShade="8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</w:rPr>
              <w:t>Stvaralačko izražavanje</w:t>
            </w:r>
          </w:p>
        </w:tc>
        <w:tc>
          <w:tcPr>
            <w:tcW w:w="5596" w:type="dxa"/>
            <w:gridSpan w:val="2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color="auto" w:fill="808080" w:themeFill="background1" w:themeFillShade="8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Kultura međusobnog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komuniciranja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ODLIČAN  5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ODLIČAN  5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ODLIČAN  5</w:t>
            </w:r>
          </w:p>
        </w:tc>
      </w:tr>
      <w:tr>
        <w:trPr>
          <w:trHeight w:val="567" w:hRule="atLeast"/>
        </w:trPr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Učenik </w:t>
            </w:r>
            <w:r>
              <w:rPr>
                <w:rFonts w:ascii="Times New Roman" w:hAnsi="Times New Roman"/>
              </w:rPr>
              <w:t>u potpunosti vlada pojmovima, činjenicama i točno ih interpretira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 potpunosti razumije vjeronaučne sadržaje i može ih objasniti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uspješno primjenjuje svoje znanje za rješavanje zadataka i problemskih situacija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odlično razlikuje bitno od manje bitnog…, uspješno povezuje gradivo s konkretnim životnim situacijama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precizno i argumentirano izražava svoje mišljenje i stavove…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osmišljava i kreira nove aktivnosti, zadatke, postupke i rješenja…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izvrsno i kreativno izražava u raznim oblicima stvaralačkog izražavanja (SI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precizno i razumljivo izražava u raznim oblicima SI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rado sudjeluje u različitim oblicima SI, daje inicijative i uočava bit sadržaja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Učenik izvrsno povezuje vjeronaučne sadržaje kroz oblike SI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precizno i argumentirano obrazlaže svoje mišljenje i stavove kroz različite oblike SI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57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pokazuje interes i volju za dodatnim sadržajima i oblicima 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8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ima razvijenu primjerenu kulturu komuniciranja, izvrsno surađuje s vjeroučiteljem i ostalim učenicima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8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je pažljiv i ljubazan prema drugima, uzornog ponašanja i primjerenom komunikacijom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5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je tolerantan u komunikaciji, rado pomaže drugima i uvažava ih, pozitivno djeluje na ostale učenike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5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nastoji povezati i uskladiti različita mišljenja i stavove, gradi pozitivne međuljudske odnose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5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s lakoćom izražava, uvijek je spreman čuti drugoga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5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rado osmišljava i predlaže nove načine i oblike kvalitetne komunikacije u razredu</w:t>
            </w:r>
          </w:p>
        </w:tc>
      </w:tr>
      <w:tr>
        <w:trPr>
          <w:trHeight w:val="60" w:hRule="atLeast"/>
        </w:trPr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VRLO DOBAR  4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VRLO DOBAR  4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VRLO DOBAR  4</w:t>
            </w:r>
          </w:p>
        </w:tc>
      </w:tr>
      <w:tr>
        <w:trPr>
          <w:trHeight w:val="1333" w:hRule="atLeast"/>
        </w:trPr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poznaje temeljne pojmove i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76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činjenice vjeronaučnog gradiva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vrlo dobro razumije vjeronaučne sadržaje i može ih objasniti uz mali poticaj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vrlo dobro primjenjuje svoje znanje u pismenom i usmenom izražavanju uz malo više vremena i truda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ima samoinicijativu i vrlo dobro se snalazi u opširnosti sadržaja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prilično dobro i precizno izražava svoje mišljenje i stavove uz malo više napora i truda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Učenik prilično dobro osmišljava nove aktivnosti i rješenja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vrlo dobro služi različitim oblicima SI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rado prihvaća sudjelovanje u pojedinim oblicima SI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vrlo dobro primjenjuje pojedine oblike SI uz manji poticaj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Učenik se trudi povezati sličnosti i uočiti razlike u različitim oblicima SI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solidno izražava svoje mišljenje i stavove kroz različite oblike SI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ponekada sudjeluje u stvaranju novih oblika SI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dosta dobro surađuje, trudi se slušati druge učenike i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trudi pokazati toleranciju prema različitim mišljenjima i stavovima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vrlo dobro primjenjuje dogovorena pravila komunikacije na satu vjeronauka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posjeduje vrlo dobru vještinu verbalne komunikacije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uglavnom pristojno izražava uz rijetke korekcije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trudi sudjelovati u stvaranju pozitivnog radnog ozračja na satu vjeronauka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DOBAR  3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DOBAR  3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DOBAR  3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djelomično poznaje temeljne pojmove i činjenice vjeronaučnog gradiva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prosječno razumije vjeronaučne sadržaje, potrebna mu je povremena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teže služi znanjem na satu vjeronauka, potrebna mu je manja pomoći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uglavnom povezuje pojedine dijelove vjeronaučnog gradiva uz povremenu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Učenik povremeno izražava svoje mišljenje o vjeronaučnim sadržajima uz manju pomoć vjeroučitelja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7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pokazuje prosječnu sposobnost SI, potrebna mu je povremena pomoć i poticaj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površno razumije upute i načine pojedinih oblika SI, potrebna mu je dodatna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površno stvaralački izražava, potreban mu je poticaj vjeroučitel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ja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djelomično poznaje činjenice iz vjeronaučnog gradiva i površno ih izražava kroz SI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teže i dosta površno samostalno stvaralački izražava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Učeniku je potreban poticaj za primjerenije ponašanje i izražavanje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pokazuje osrednje razumijevanje drugačijih mišljenja i stavova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dobro primjenjuje dogovorena pravila komunikacije na satu uz manju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površno razlikuje prihvatljivu i neprihvatljivu komunikaciju na satu, potrebna mu je povremena pomoć i korekcije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teže uspostavlja komunikaciju na satu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DOVOLJAN  2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DOVOLJAN  2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DOVOLJAN  2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pokazuje jako površno poznavanje vjeronaučnog gradiva, zamjenjuje pojmove, imena i događaje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teško razumije vjeronaučno gradivo, potreban mu je stalni poticaj i nadzor njegovog rada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teško primjenjuje znanje, potrebna mu je stalna pomoći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teško povezuje dijelove vjeronaučnog gradiva, potrebna mu je stalna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teško i vrlo rijetko izražava svoje mišljenje, pasivno sudjeluje u svim oblicima rada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76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teško izražava u svim oblicima SI, reagira samo na poticaj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rijetko pokazuje razumijevanje i interes za pojedine oblike SI, potrebna mu je stalna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vrlo rijetko pokazuje spremnost da se stvaralački izrazi, potrebna mu je konstantna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samo djelomično poznaje vjeronaučne sadržaje i teško ih izražava kroz SI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pokazuje minimalan interes prema stvaralačkom izražavanju, djelomično izražava postavljene zadatke samo uz veliku pomoć vjeroučitelja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Učenika rijetko izražava ljubaznost i poštovanje prema drugima, redovito ga treba poticati na pozitivniju verbalnu i neverbalnu komunikaciju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rijetko pokazuje volju za slušanjem i razumijevanjem drugih te rijetko prihvaća pomoć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rijetko primjenjuje dogovorena pravila komunikacije u razredu, redovito ga treba poticati na poštivanje i ljubaznost prema drugima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teško razlikuje pristojno od nepristojnog ponašanja, rijetko prihvaća dobronamjerne sugestije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rijetko izražava ljubaznost i poštovanje prema drugima</w:t>
            </w:r>
          </w:p>
        </w:tc>
      </w:tr>
      <w:tr>
        <w:trPr/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NEDOVOLJAN  1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NEDOVOLJAN  1</w:t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NEDOVOLJAN  1</w:t>
            </w:r>
          </w:p>
        </w:tc>
      </w:tr>
      <w:tr>
        <w:trPr>
          <w:trHeight w:val="1031" w:hRule="atLeast"/>
        </w:trPr>
        <w:tc>
          <w:tcPr>
            <w:tcW w:w="382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Učenik ne pokazuje minimalno poznavanje vjeronaučnog gradiva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Učenik ne razumije smisao pojedinih pojmova i pogrešno ih objašnjava, ne usvaja zadane sadržaje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Učenik odbija svaku aktivnost i suradnju na satu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Učenik iskrivljuje pojmove, činjenice, imena i događaje zadanih vjeronaučnih sadržaja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Učenik izražava negativno mišljenje o vjeronaučnim sadržajima, potrebne su stalne intervencije i korekcije vjeroučitelja</w:t>
            </w:r>
          </w:p>
        </w:tc>
        <w:tc>
          <w:tcPr>
            <w:tcW w:w="284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81" w:type="dxa"/>
            <w:tcBorders>
              <w:top w:val="single" w:sz="8" w:space="0" w:color="404040"/>
              <w:bottom w:val="single" w:sz="8" w:space="0" w:color="40404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 pokazuje minimalan interes za bilo koji oblik SI, ne reagira na poticaje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 pokazuje minimalnu volju da razumije upute i načne pojedinih oblika SI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Učenik odbija sudjelovati  svakom obliku SI, ne uspijeva se izraziti niti uz pomoć i poticaj vjeroučitelja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Učenik ne pokazuje minimalnu volju i znanje da poveže vjeronaučne sadržaje i pojedine oblike SI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odbija svaki oblik samostalnog SI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</w:p>
        </w:tc>
        <w:tc>
          <w:tcPr>
            <w:tcW w:w="5444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Učenika redovito ne uvažava druge i ne prihvaća sugestije za pozitivnu komunikaciju, četo ulazi u sukobe i ima problema s poštivanjem autoriteta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 pokazuje razumijevanje prema drugim, redovito vrijeđa druge učenike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redovito odbija svaki oblik suradnje i ometa međusobnu komunikaciju u razredu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redovito odbija svaki oblik suradnje i pozitivne komunikacije s drugima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redovito neprimjereno i nepristojno izražava</w:t>
            </w:r>
          </w:p>
        </w:tc>
      </w:tr>
    </w:tbl>
    <w:p>
      <w:pPr>
        <w:pStyle w:val="Normal"/>
        <w:rPr/>
      </w:pPr>
      <w:r>
        <w:rPr/>
        <w:t>Napomene: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Okvirni kriteriji vrednovanja unutar svake pojedine ocjene mogu se </w:t>
      </w:r>
      <w:r>
        <w:rPr>
          <w:b/>
          <w:u w:val="single"/>
        </w:rPr>
        <w:t>kombinirati</w:t>
      </w:r>
      <w:r>
        <w:rPr/>
        <w:t xml:space="preserve"> kako bi se dobili pojedinačni kriteriji</w:t>
      </w:r>
    </w:p>
    <w:p>
      <w:pPr>
        <w:pStyle w:val="ListParagraph"/>
        <w:numPr>
          <w:ilvl w:val="0"/>
          <w:numId w:val="16"/>
        </w:numPr>
        <w:rPr/>
      </w:pPr>
      <w:r>
        <w:rPr/>
        <w:t>Preporuka je da se za više ocjene biraju više razine, a za niže ocjene niže razine bloomove taksonomije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U Puli, </w:t>
      </w:r>
      <w:r>
        <w:rPr/>
        <w:t>19</w:t>
      </w:r>
      <w:r>
        <w:rPr/>
        <w:t>.9.20</w:t>
      </w:r>
      <w:r>
        <w:rPr/>
        <w:t>22</w:t>
      </w:r>
      <w:r>
        <w:rPr/>
        <w:t xml:space="preserve">. </w:t>
        <w:tab/>
        <w:tab/>
        <w:tab/>
        <w:tab/>
        <w:tab/>
        <w:tab/>
        <w:tab/>
        <w:tab/>
        <w:tab/>
        <w:tab/>
        <w:tab/>
        <w:tab/>
        <w:t xml:space="preserve">Vjeroučitelj </w:t>
      </w:r>
      <w:r>
        <w:rPr/>
        <w:t>Omer Omanović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2300297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b/>
        <w:b/>
        <w:sz w:val="28"/>
        <w:szCs w:val="28"/>
      </w:rPr>
    </w:pPr>
    <w:r>
      <w:rPr>
        <w:b/>
        <w:sz w:val="28"/>
        <w:szCs w:val="28"/>
      </w:rPr>
      <w:t xml:space="preserve">OŠ </w:t>
    </w:r>
    <w:r>
      <w:rPr>
        <w:rFonts w:eastAsia="Times New Roman" w:cs="Times New Roman"/>
        <w:b/>
        <w:sz w:val="28"/>
        <w:szCs w:val="28"/>
        <w:lang w:eastAsia="hr-HR"/>
      </w:rPr>
      <w:t>Fažana</w:t>
    </w:r>
  </w:p>
  <w:p>
    <w:pPr>
      <w:pStyle w:val="Normal"/>
      <w:spacing w:before="0" w:after="0"/>
      <w:rPr>
        <w:b/>
        <w:b/>
        <w:sz w:val="28"/>
        <w:szCs w:val="28"/>
      </w:rPr>
    </w:pPr>
    <w:r>
      <w:rPr>
        <w:rFonts w:eastAsia="Times New Roman" w:cs="Times New Roman"/>
        <w:b/>
        <w:sz w:val="28"/>
        <w:szCs w:val="28"/>
        <w:lang w:eastAsia="hr-HR"/>
      </w:rPr>
      <w:t>P</w:t>
    </w:r>
    <w:r>
      <w:rPr>
        <w:rFonts w:eastAsia="Times New Roman" w:cs="Times New Roman"/>
        <w:b/>
        <w:sz w:val="28"/>
        <w:szCs w:val="28"/>
        <w:lang w:eastAsia="hr-HR"/>
      </w:rPr>
      <w:t>uljska ul. 9, Fažana</w:t>
    </w:r>
  </w:p>
  <w:p>
    <w:pPr>
      <w:pStyle w:val="Normal"/>
      <w:spacing w:before="0" w:after="0"/>
      <w:rPr>
        <w:rFonts w:ascii="Calibri" w:hAnsi="Calibri" w:eastAsia="Times New Roman" w:cs="Times New Roman"/>
        <w:b/>
        <w:b/>
        <w:sz w:val="28"/>
        <w:szCs w:val="28"/>
        <w:lang w:eastAsia="hr-HR"/>
      </w:rPr>
    </w:pPr>
    <w:r>
      <w:rPr>
        <w:rFonts w:eastAsia="Times New Roman" w:cs="Times New Roman"/>
        <w:b/>
        <w:sz w:val="28"/>
        <w:szCs w:val="28"/>
        <w:lang w:eastAsia="hr-HR"/>
      </w:rPr>
      <w:t>Vjeroučitelj Omer Omanović</w:t>
    </w:r>
  </w:p>
  <w:p>
    <w:pPr>
      <w:pStyle w:val="Normal"/>
      <w:spacing w:before="0" w:after="0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spacing w:before="0" w:after="0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spacing w:before="0" w:after="0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spacing w:before="0" w:after="0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Okvirni kriteriji vrednovanja u nastavi islamskog vjeronauka</w:t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ef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21fb"/>
    <w:rPr>
      <w:rFonts w:ascii="Calibri" w:hAnsi="Calibri" w:eastAsia="Times New Roman" w:cs="Times New Roman"/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921fb"/>
    <w:rPr>
      <w:rFonts w:ascii="Calibri" w:hAnsi="Calibri" w:eastAsia="Times New Roman" w:cs="Times New Roman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45a9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392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392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E839-6182-4633-842D-3E0D3F74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LibreOffice/7.0.1.2$Windows_X86_64 LibreOffice_project/7cbcfc562f6eb6708b5ff7d7397325de9e764452</Application>
  <Pages>4</Pages>
  <Words>1131</Words>
  <Characters>6691</Characters>
  <CharactersWithSpaces>7662</CharactersWithSpaces>
  <Paragraphs>110</Paragraphs>
  <Company>AZOO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2015-08-30T22:30:00Z</dcterms:created>
  <dc:creator>ttomasic</dc:creator>
  <dc:description/>
  <dc:language>hr-HR</dc:language>
  <cp:lastModifiedBy/>
  <cp:lastPrinted>2015-05-07T09:58:00Z</cp:lastPrinted>
  <dcterms:modified xsi:type="dcterms:W3CDTF">2022-09-19T18:20:18Z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AZOO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